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DE343" w14:textId="77777777" w:rsidR="00501641" w:rsidRPr="00501641" w:rsidRDefault="00501641" w:rsidP="00501641">
      <w:pPr>
        <w:rPr>
          <w:rFonts w:ascii="Aptos" w:eastAsia="Times New Roman" w:hAnsi="Aptos" w:cs="Times New Roman"/>
          <w:vanish/>
          <w:sz w:val="20"/>
          <w:szCs w:val="20"/>
          <w:lang w:val="nl-BE" w:eastAsia="nl-NL"/>
        </w:rPr>
      </w:pPr>
    </w:p>
    <w:tbl>
      <w:tblPr>
        <w:tblW w:w="5000" w:type="pct"/>
        <w:tblCellSpacing w:w="0" w:type="dxa"/>
        <w:tblCellMar>
          <w:top w:w="200" w:type="dxa"/>
          <w:left w:w="200" w:type="dxa"/>
          <w:bottom w:w="200" w:type="dxa"/>
          <w:right w:w="200" w:type="dxa"/>
        </w:tblCellMar>
        <w:tblLook w:val="04A0" w:firstRow="1" w:lastRow="0" w:firstColumn="1" w:lastColumn="0" w:noHBand="0" w:noVBand="1"/>
      </w:tblPr>
      <w:tblGrid>
        <w:gridCol w:w="9066"/>
      </w:tblGrid>
      <w:tr w:rsidR="00501641" w:rsidRPr="00501641" w14:paraId="1DE11C76" w14:textId="77777777" w:rsidTr="00501641">
        <w:trPr>
          <w:tblCellSpacing w:w="0" w:type="dxa"/>
        </w:trPr>
        <w:tc>
          <w:tcPr>
            <w:tcW w:w="0" w:type="auto"/>
            <w:vAlign w:val="center"/>
            <w:hideMark/>
          </w:tcPr>
          <w:p w14:paraId="37B4605A" w14:textId="77777777" w:rsidR="00501641" w:rsidRPr="00501641" w:rsidRDefault="00501641" w:rsidP="00501641">
            <w:pPr>
              <w:outlineLvl w:val="0"/>
              <w:rPr>
                <w:rFonts w:ascii="Aptos" w:eastAsia="Times New Roman" w:hAnsi="Aptos" w:cs="Arial"/>
                <w:b/>
                <w:bCs/>
                <w:color w:val="000000"/>
                <w:kern w:val="36"/>
                <w:sz w:val="32"/>
                <w:szCs w:val="32"/>
                <w:lang w:val="nl-BE" w:eastAsia="nl-NL"/>
              </w:rPr>
            </w:pPr>
            <w:r w:rsidRPr="00501641">
              <w:rPr>
                <w:rFonts w:ascii="Aptos" w:eastAsia="Times New Roman" w:hAnsi="Aptos" w:cs="Arial"/>
                <w:b/>
                <w:bCs/>
                <w:color w:val="000000"/>
                <w:kern w:val="36"/>
                <w:sz w:val="32"/>
                <w:szCs w:val="32"/>
                <w:lang w:val="nl-BE" w:eastAsia="nl-NL"/>
              </w:rPr>
              <w:t>ERPA: nieuw samenwerkingsverband voor eenvoudige en gestandaardiseerde belasting- en accijnsrestitutie in de Europese transportsector</w:t>
            </w:r>
          </w:p>
        </w:tc>
      </w:tr>
    </w:tbl>
    <w:p w14:paraId="600DA472" w14:textId="77777777" w:rsidR="00501641" w:rsidRPr="00501641" w:rsidRDefault="00501641" w:rsidP="00501641">
      <w:pPr>
        <w:rPr>
          <w:rFonts w:ascii="Aptos" w:eastAsia="Times New Roman" w:hAnsi="Aptos" w:cs="Times New Roman"/>
          <w:vanish/>
          <w:sz w:val="20"/>
          <w:szCs w:val="20"/>
          <w:lang w:val="nl-BE" w:eastAsia="nl-NL"/>
        </w:rPr>
      </w:pPr>
    </w:p>
    <w:tbl>
      <w:tblPr>
        <w:tblW w:w="5000" w:type="pct"/>
        <w:tblCellSpacing w:w="0" w:type="dxa"/>
        <w:tblCellMar>
          <w:top w:w="200" w:type="dxa"/>
          <w:left w:w="200" w:type="dxa"/>
          <w:bottom w:w="200" w:type="dxa"/>
          <w:right w:w="200" w:type="dxa"/>
        </w:tblCellMar>
        <w:tblLook w:val="04A0" w:firstRow="1" w:lastRow="0" w:firstColumn="1" w:lastColumn="0" w:noHBand="0" w:noVBand="1"/>
      </w:tblPr>
      <w:tblGrid>
        <w:gridCol w:w="9066"/>
      </w:tblGrid>
      <w:tr w:rsidR="00501641" w:rsidRPr="00501641" w14:paraId="7E505833" w14:textId="77777777" w:rsidTr="00501641">
        <w:trPr>
          <w:tblCellSpacing w:w="0" w:type="dxa"/>
        </w:trPr>
        <w:tc>
          <w:tcPr>
            <w:tcW w:w="0" w:type="auto"/>
            <w:vAlign w:val="center"/>
            <w:hideMark/>
          </w:tcPr>
          <w:p w14:paraId="066A917E" w14:textId="77777777" w:rsidR="00501641" w:rsidRPr="00501641" w:rsidRDefault="00501641" w:rsidP="00501641">
            <w:pPr>
              <w:spacing w:after="240"/>
              <w:rPr>
                <w:rFonts w:ascii="Aptos" w:eastAsia="Times New Roman" w:hAnsi="Aptos" w:cs="Arial"/>
                <w:color w:val="000000"/>
                <w:sz w:val="20"/>
                <w:szCs w:val="20"/>
                <w:lang w:val="nl-BE" w:eastAsia="nl-NL"/>
              </w:rPr>
            </w:pPr>
            <w:r w:rsidRPr="00501641">
              <w:rPr>
                <w:rFonts w:ascii="Aptos" w:eastAsia="Times New Roman" w:hAnsi="Aptos" w:cs="Arial"/>
                <w:b/>
                <w:bCs/>
                <w:color w:val="000000"/>
                <w:sz w:val="20"/>
                <w:szCs w:val="20"/>
                <w:lang w:val="en-US" w:eastAsia="nl-NL"/>
              </w:rPr>
              <w:t xml:space="preserve">Utrecht, 16 </w:t>
            </w:r>
            <w:proofErr w:type="spellStart"/>
            <w:r w:rsidRPr="00501641">
              <w:rPr>
                <w:rFonts w:ascii="Aptos" w:eastAsia="Times New Roman" w:hAnsi="Aptos" w:cs="Arial"/>
                <w:b/>
                <w:bCs/>
                <w:color w:val="000000"/>
                <w:sz w:val="20"/>
                <w:szCs w:val="20"/>
                <w:lang w:val="en-US" w:eastAsia="nl-NL"/>
              </w:rPr>
              <w:t>juli</w:t>
            </w:r>
            <w:proofErr w:type="spellEnd"/>
            <w:r w:rsidRPr="00501641">
              <w:rPr>
                <w:rFonts w:ascii="Aptos" w:eastAsia="Times New Roman" w:hAnsi="Aptos" w:cs="Arial"/>
                <w:b/>
                <w:bCs/>
                <w:color w:val="000000"/>
                <w:sz w:val="20"/>
                <w:szCs w:val="20"/>
                <w:lang w:val="en-US" w:eastAsia="nl-NL"/>
              </w:rPr>
              <w:t xml:space="preserve"> 2025</w:t>
            </w:r>
            <w:r w:rsidRPr="00501641">
              <w:rPr>
                <w:rFonts w:ascii="Aptos" w:eastAsia="Times New Roman" w:hAnsi="Aptos" w:cs="Arial"/>
                <w:color w:val="000000"/>
                <w:sz w:val="20"/>
                <w:szCs w:val="20"/>
                <w:lang w:val="en-US" w:eastAsia="nl-NL"/>
              </w:rPr>
              <w:t> – </w:t>
            </w:r>
            <w:hyperlink r:id="rId4" w:history="1">
              <w:r w:rsidRPr="00501641">
                <w:rPr>
                  <w:rFonts w:ascii="Aptos" w:eastAsia="Times New Roman" w:hAnsi="Aptos" w:cs="Arial"/>
                  <w:color w:val="0068A5"/>
                  <w:sz w:val="20"/>
                  <w:szCs w:val="20"/>
                  <w:u w:val="single"/>
                  <w:lang w:val="en-US" w:eastAsia="nl-NL"/>
                </w:rPr>
                <w:t>REMOBIS Refund Service C.V.</w:t>
              </w:r>
            </w:hyperlink>
            <w:r w:rsidRPr="00501641">
              <w:rPr>
                <w:rFonts w:ascii="Aptos" w:eastAsia="Times New Roman" w:hAnsi="Aptos" w:cs="Arial"/>
                <w:color w:val="000000"/>
                <w:sz w:val="20"/>
                <w:szCs w:val="20"/>
                <w:lang w:val="en-US" w:eastAsia="nl-NL"/>
              </w:rPr>
              <w:t> </w:t>
            </w:r>
            <w:r w:rsidRPr="00501641">
              <w:rPr>
                <w:rFonts w:ascii="Aptos" w:eastAsia="Times New Roman" w:hAnsi="Aptos" w:cs="Arial"/>
                <w:color w:val="000000"/>
                <w:sz w:val="20"/>
                <w:szCs w:val="20"/>
                <w:lang w:val="nl-BE" w:eastAsia="nl-NL"/>
              </w:rPr>
              <w:t>en </w:t>
            </w:r>
            <w:hyperlink r:id="rId5" w:history="1">
              <w:r w:rsidRPr="00501641">
                <w:rPr>
                  <w:rFonts w:ascii="Aptos" w:eastAsia="Times New Roman" w:hAnsi="Aptos" w:cs="Arial"/>
                  <w:color w:val="0068A5"/>
                  <w:sz w:val="20"/>
                  <w:szCs w:val="20"/>
                  <w:u w:val="single"/>
                  <w:lang w:val="nl-BE" w:eastAsia="nl-NL"/>
                </w:rPr>
                <w:t>Edenred Finance UAB</w:t>
              </w:r>
            </w:hyperlink>
            <w:r w:rsidRPr="00501641">
              <w:rPr>
                <w:rFonts w:ascii="Aptos" w:eastAsia="Times New Roman" w:hAnsi="Aptos" w:cs="Arial"/>
                <w:color w:val="000000"/>
                <w:sz w:val="20"/>
                <w:szCs w:val="20"/>
                <w:lang w:val="nl-BE" w:eastAsia="nl-NL"/>
              </w:rPr>
              <w:t> bundelen hun krachten voor de oprichting van de European Refund Providers Association (ERPA). Dit is een nieuw initiatief binnen de transportsector met als doel het ondersteunen van de restitutiesector voor buitenlandse belastingen en accijnzen. Door het stimuleren van samenwerking en bij te dragen aan innovatie, transparantie en efficiëntie binnen de sector, wil ERPA waarde creëren voor zowel internationale vervoerders als belasting- en douanediensten in heel Europa.</w:t>
            </w:r>
          </w:p>
          <w:p w14:paraId="415C4DB7" w14:textId="77777777" w:rsidR="00501641" w:rsidRPr="00501641" w:rsidRDefault="00501641" w:rsidP="00501641">
            <w:pPr>
              <w:spacing w:after="240"/>
              <w:rPr>
                <w:rFonts w:ascii="Aptos" w:eastAsia="Times New Roman" w:hAnsi="Aptos" w:cs="Arial"/>
                <w:color w:val="000000"/>
                <w:sz w:val="20"/>
                <w:szCs w:val="20"/>
                <w:lang w:val="nl-BE" w:eastAsia="nl-NL"/>
              </w:rPr>
            </w:pPr>
            <w:r w:rsidRPr="00501641">
              <w:rPr>
                <w:rFonts w:ascii="Aptos" w:eastAsia="Times New Roman" w:hAnsi="Aptos" w:cs="Arial"/>
                <w:b/>
                <w:bCs/>
                <w:color w:val="000000"/>
                <w:sz w:val="20"/>
                <w:szCs w:val="20"/>
                <w:lang w:val="nl-BE" w:eastAsia="nl-NL"/>
              </w:rPr>
              <w:t>Minder complexiteit voor vervoerders</w:t>
            </w:r>
            <w:r w:rsidRPr="00501641">
              <w:rPr>
                <w:rFonts w:ascii="Aptos" w:eastAsia="Times New Roman" w:hAnsi="Aptos" w:cs="Arial"/>
                <w:b/>
                <w:bCs/>
                <w:color w:val="000000"/>
                <w:sz w:val="20"/>
                <w:szCs w:val="20"/>
                <w:lang w:val="nl-BE" w:eastAsia="nl-NL"/>
              </w:rPr>
              <w:br/>
            </w:r>
            <w:r w:rsidRPr="00501641">
              <w:rPr>
                <w:rFonts w:ascii="Aptos" w:eastAsia="Times New Roman" w:hAnsi="Aptos" w:cs="Arial"/>
                <w:color w:val="000000"/>
                <w:sz w:val="20"/>
                <w:szCs w:val="20"/>
                <w:lang w:val="nl-BE" w:eastAsia="nl-NL"/>
              </w:rPr>
              <w:t>Elk jaar worden duizenden internationale transportbedrijven in heel Europa geconfronteerd met ingewikkelde, langdurige en onsamenhangende procedures bij het terugvorderen van belastingen en accijnzen die ze in het buitenland hebben afgedragen. De oprichting van ERPA betekent een belangrijke verandering: ERPA biedt internationale vervoerders oplossingen voor eenvoudigere procedures, minder strenge eisen en voorschriften, en tijdige behandeling en afronding van restitutievorderingen.</w:t>
            </w:r>
          </w:p>
          <w:p w14:paraId="0D1E2F23" w14:textId="77777777" w:rsidR="00501641" w:rsidRPr="00501641" w:rsidRDefault="00501641" w:rsidP="00501641">
            <w:pPr>
              <w:spacing w:after="240"/>
              <w:rPr>
                <w:rFonts w:ascii="Aptos" w:eastAsia="Times New Roman" w:hAnsi="Aptos" w:cs="Arial"/>
                <w:color w:val="000000"/>
                <w:sz w:val="20"/>
                <w:szCs w:val="20"/>
                <w:lang w:val="nl-BE" w:eastAsia="nl-NL"/>
              </w:rPr>
            </w:pPr>
            <w:r w:rsidRPr="00501641">
              <w:rPr>
                <w:rFonts w:ascii="Aptos" w:eastAsia="Times New Roman" w:hAnsi="Aptos" w:cs="Arial"/>
                <w:color w:val="000000"/>
                <w:sz w:val="20"/>
                <w:szCs w:val="20"/>
                <w:lang w:val="nl-BE" w:eastAsia="nl-NL"/>
              </w:rPr>
              <w:t>De oprichters van het verbond, Edenred Finance (Litouwen) en REMOBIS Refund Service (Nederland) vertegenwoordigen samen met de aangesloten bedrijven Nikosax A/S uit Denemarken, Alfa Transport Service uit Nederland en Tax Refund S.R.L. uit Roemenië een aanzienlijk deel van de Europese markt. Samen bedienen ze </w:t>
            </w:r>
            <w:r w:rsidRPr="00501641">
              <w:rPr>
                <w:rFonts w:ascii="Aptos" w:eastAsia="Times New Roman" w:hAnsi="Aptos" w:cs="Arial"/>
                <w:b/>
                <w:bCs/>
                <w:color w:val="000000"/>
                <w:sz w:val="20"/>
                <w:szCs w:val="20"/>
                <w:lang w:val="nl-BE" w:eastAsia="nl-NL"/>
              </w:rPr>
              <w:t>jaarlijks</w:t>
            </w:r>
            <w:r w:rsidRPr="00501641">
              <w:rPr>
                <w:rFonts w:ascii="Aptos" w:eastAsia="Times New Roman" w:hAnsi="Aptos" w:cs="Arial"/>
                <w:color w:val="000000"/>
                <w:sz w:val="20"/>
                <w:szCs w:val="20"/>
                <w:lang w:val="nl-BE" w:eastAsia="nl-NL"/>
              </w:rPr>
              <w:t> zo’n </w:t>
            </w:r>
            <w:r w:rsidRPr="00501641">
              <w:rPr>
                <w:rFonts w:ascii="Aptos" w:eastAsia="Times New Roman" w:hAnsi="Aptos" w:cs="Arial"/>
                <w:b/>
                <w:bCs/>
                <w:color w:val="000000"/>
                <w:sz w:val="20"/>
                <w:szCs w:val="20"/>
                <w:lang w:val="nl-BE" w:eastAsia="nl-NL"/>
              </w:rPr>
              <w:t>32.000 klanten</w:t>
            </w:r>
            <w:r w:rsidRPr="00501641">
              <w:rPr>
                <w:rFonts w:ascii="Aptos" w:eastAsia="Times New Roman" w:hAnsi="Aptos" w:cs="Arial"/>
                <w:color w:val="000000"/>
                <w:sz w:val="20"/>
                <w:szCs w:val="20"/>
                <w:lang w:val="nl-BE" w:eastAsia="nl-NL"/>
              </w:rPr>
              <w:t> en behandelen ze meer dan </w:t>
            </w:r>
            <w:r w:rsidRPr="00501641">
              <w:rPr>
                <w:rFonts w:ascii="Aptos" w:eastAsia="Times New Roman" w:hAnsi="Aptos" w:cs="Arial"/>
                <w:b/>
                <w:bCs/>
                <w:color w:val="000000"/>
                <w:sz w:val="20"/>
                <w:szCs w:val="20"/>
                <w:lang w:val="nl-BE" w:eastAsia="nl-NL"/>
              </w:rPr>
              <w:t>220.000 internationale restitutievorderingen</w:t>
            </w:r>
            <w:r w:rsidRPr="00501641">
              <w:rPr>
                <w:rFonts w:ascii="Aptos" w:eastAsia="Times New Roman" w:hAnsi="Aptos" w:cs="Arial"/>
                <w:color w:val="000000"/>
                <w:sz w:val="20"/>
                <w:szCs w:val="20"/>
                <w:lang w:val="nl-BE" w:eastAsia="nl-NL"/>
              </w:rPr>
              <w:t>, waarmee ERPA aan schaal en invloed wint.</w:t>
            </w:r>
          </w:p>
          <w:p w14:paraId="5A031A65" w14:textId="77777777" w:rsidR="00501641" w:rsidRPr="00501641" w:rsidRDefault="00501641" w:rsidP="00501641">
            <w:pPr>
              <w:spacing w:after="240"/>
              <w:rPr>
                <w:rFonts w:ascii="Aptos" w:eastAsia="Times New Roman" w:hAnsi="Aptos" w:cs="Arial"/>
                <w:color w:val="000000"/>
                <w:sz w:val="20"/>
                <w:szCs w:val="20"/>
                <w:lang w:val="nl-BE" w:eastAsia="nl-NL"/>
              </w:rPr>
            </w:pPr>
            <w:r w:rsidRPr="00501641">
              <w:rPr>
                <w:rFonts w:ascii="Aptos" w:eastAsia="Times New Roman" w:hAnsi="Aptos" w:cs="Arial"/>
                <w:color w:val="000000"/>
                <w:sz w:val="20"/>
                <w:szCs w:val="20"/>
                <w:lang w:val="nl-BE" w:eastAsia="nl-NL"/>
              </w:rPr>
              <w:t>“Voor de restitutiesector betekent ERPA een gedurfde stap vooruit. Door toonaangevende partijen samen te brengen, stellen wij nieuwe normen voor innovatie, efficiëntie en vertrouwen. Daarmee geven we het internationale vervoer de middelen om vooruit te komen en aan alle verplichtingen te voldoen”, zegt Pieter van Wel, voorzitter van ERPA.</w:t>
            </w:r>
          </w:p>
          <w:p w14:paraId="441875E0" w14:textId="77777777" w:rsidR="00501641" w:rsidRPr="00501641" w:rsidRDefault="00501641" w:rsidP="00501641">
            <w:pPr>
              <w:spacing w:after="240"/>
              <w:rPr>
                <w:rFonts w:ascii="Aptos" w:eastAsia="Times New Roman" w:hAnsi="Aptos" w:cs="Arial"/>
                <w:color w:val="000000"/>
                <w:sz w:val="20"/>
                <w:szCs w:val="20"/>
                <w:lang w:val="nl-BE" w:eastAsia="nl-NL"/>
              </w:rPr>
            </w:pPr>
            <w:r w:rsidRPr="00501641">
              <w:rPr>
                <w:rFonts w:ascii="Aptos" w:eastAsia="Times New Roman" w:hAnsi="Aptos" w:cs="Arial"/>
                <w:b/>
                <w:bCs/>
                <w:color w:val="000000"/>
                <w:sz w:val="20"/>
                <w:szCs w:val="20"/>
                <w:lang w:val="nl-BE" w:eastAsia="nl-NL"/>
              </w:rPr>
              <w:t>Toegevoegde waarde voor belastingdiensten</w:t>
            </w:r>
            <w:r w:rsidRPr="00501641">
              <w:rPr>
                <w:rFonts w:ascii="Aptos" w:eastAsia="Times New Roman" w:hAnsi="Aptos" w:cs="Arial"/>
                <w:b/>
                <w:bCs/>
                <w:color w:val="000000"/>
                <w:sz w:val="20"/>
                <w:szCs w:val="20"/>
                <w:lang w:val="nl-BE" w:eastAsia="nl-NL"/>
              </w:rPr>
              <w:br/>
            </w:r>
            <w:r w:rsidRPr="00501641">
              <w:rPr>
                <w:rFonts w:ascii="Aptos" w:eastAsia="Times New Roman" w:hAnsi="Aptos" w:cs="Arial"/>
                <w:color w:val="000000"/>
                <w:sz w:val="20"/>
                <w:szCs w:val="20"/>
                <w:lang w:val="nl-BE" w:eastAsia="nl-NL"/>
              </w:rPr>
              <w:t>ERPA streeft naar effectievere procedures voor belasting- en accijnsrestitutie en naar meer begrip en inzicht bij regelgevende instanties in de rol van de transportsector. Door toonaangevende Europese restitutieproviders te verenigen, bevordert ERPA samenwerking en draagt het bij aan het verhogen en verbeteren van de servicestandaard binnen de sector.</w:t>
            </w:r>
          </w:p>
          <w:p w14:paraId="796EDC67" w14:textId="77777777" w:rsidR="00501641" w:rsidRPr="00501641" w:rsidRDefault="00501641" w:rsidP="00501641">
            <w:pPr>
              <w:spacing w:after="240"/>
              <w:rPr>
                <w:rFonts w:ascii="Aptos" w:eastAsia="Times New Roman" w:hAnsi="Aptos" w:cs="Arial"/>
                <w:color w:val="000000"/>
                <w:sz w:val="20"/>
                <w:szCs w:val="20"/>
                <w:lang w:val="nl-BE" w:eastAsia="nl-NL"/>
              </w:rPr>
            </w:pPr>
            <w:r w:rsidRPr="00501641">
              <w:rPr>
                <w:rFonts w:ascii="Aptos" w:eastAsia="Times New Roman" w:hAnsi="Aptos" w:cs="Arial"/>
                <w:color w:val="000000"/>
                <w:sz w:val="20"/>
                <w:szCs w:val="20"/>
                <w:lang w:val="nl-BE" w:eastAsia="nl-NL"/>
              </w:rPr>
              <w:t>ERPA zet zich daarnaast ook in voor betere restitutievoorwaarden, fraudepreventie en het afstemmen van zijn doelstellingen op de belangen van de belastingdienstvoor een eerlijk en transparant belastingstelsel. Door samen te werken met ERPA krijgen instanties beter inzicht in en meer toegang tot sectorgegevens, waardoor fraude sneller kan worden opgespoord en voorkomen.</w:t>
            </w:r>
          </w:p>
          <w:p w14:paraId="2D0A46F1" w14:textId="77777777" w:rsidR="00501641" w:rsidRPr="00501641" w:rsidRDefault="00501641" w:rsidP="00501641">
            <w:pPr>
              <w:rPr>
                <w:rFonts w:ascii="Aptos" w:eastAsia="Times New Roman" w:hAnsi="Aptos" w:cs="Arial"/>
                <w:color w:val="000000"/>
                <w:sz w:val="20"/>
                <w:szCs w:val="20"/>
                <w:lang w:val="nl-BE" w:eastAsia="nl-NL"/>
              </w:rPr>
            </w:pPr>
            <w:r w:rsidRPr="00501641">
              <w:rPr>
                <w:rFonts w:ascii="Aptos" w:eastAsia="Times New Roman" w:hAnsi="Aptos" w:cs="Arial"/>
                <w:color w:val="000000"/>
                <w:sz w:val="20"/>
                <w:szCs w:val="20"/>
                <w:lang w:val="nl-BE" w:eastAsia="nl-NL"/>
              </w:rPr>
              <w:t>De samenwerking zorgt bovendien ook tot meer en betere communicatie tussen de instanties en serviceproviders, wat leidt tot verlichting van de administratieve lasten en een betere naleving van verplichtingen. Door het delen van inzichten en ‘best practices’ zal ERPA alle belanghebbenden een efficiënter en toekomstbestendiger ecosysteem kunnen bieden.</w:t>
            </w:r>
          </w:p>
        </w:tc>
      </w:tr>
    </w:tbl>
    <w:p w14:paraId="6B5495C2" w14:textId="77777777" w:rsidR="00501641" w:rsidRPr="00501641" w:rsidRDefault="00501641" w:rsidP="00501641">
      <w:pPr>
        <w:rPr>
          <w:rFonts w:ascii="Aptos" w:eastAsia="Times New Roman" w:hAnsi="Aptos" w:cs="Times New Roman"/>
          <w:vanish/>
          <w:sz w:val="20"/>
          <w:szCs w:val="20"/>
          <w:lang w:val="nl-BE" w:eastAsia="nl-NL"/>
        </w:rPr>
      </w:pPr>
    </w:p>
    <w:tbl>
      <w:tblPr>
        <w:tblW w:w="5000" w:type="pct"/>
        <w:tblCellSpacing w:w="0" w:type="dxa"/>
        <w:tblCellMar>
          <w:top w:w="200" w:type="dxa"/>
          <w:left w:w="200" w:type="dxa"/>
          <w:bottom w:w="200" w:type="dxa"/>
          <w:right w:w="200" w:type="dxa"/>
        </w:tblCellMar>
        <w:tblLook w:val="04A0" w:firstRow="1" w:lastRow="0" w:firstColumn="1" w:lastColumn="0" w:noHBand="0" w:noVBand="1"/>
      </w:tblPr>
      <w:tblGrid>
        <w:gridCol w:w="9066"/>
      </w:tblGrid>
      <w:tr w:rsidR="00501641" w:rsidRPr="00501641" w14:paraId="54C84D58" w14:textId="77777777" w:rsidTr="00501641">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666"/>
            </w:tblGrid>
            <w:tr w:rsidR="00501641" w:rsidRPr="00501641" w14:paraId="19EFF2AF" w14:textId="77777777">
              <w:trPr>
                <w:tblCellSpacing w:w="0" w:type="dxa"/>
                <w:jc w:val="center"/>
              </w:trPr>
              <w:tc>
                <w:tcPr>
                  <w:tcW w:w="0" w:type="auto"/>
                  <w:tcBorders>
                    <w:top w:val="single" w:sz="6" w:space="0" w:color="BBBBBB"/>
                  </w:tcBorders>
                  <w:vAlign w:val="center"/>
                  <w:hideMark/>
                </w:tcPr>
                <w:p w14:paraId="27022FC9" w14:textId="77777777" w:rsidR="00501641" w:rsidRPr="00501641" w:rsidRDefault="00501641" w:rsidP="00501641">
                  <w:pPr>
                    <w:spacing w:line="15" w:lineRule="atLeast"/>
                    <w:rPr>
                      <w:rFonts w:ascii="Aptos" w:eastAsia="Times New Roman" w:hAnsi="Aptos" w:cs="Times New Roman"/>
                      <w:sz w:val="20"/>
                      <w:szCs w:val="20"/>
                      <w:lang w:val="nl-BE" w:eastAsia="nl-NL"/>
                    </w:rPr>
                  </w:pPr>
                  <w:r w:rsidRPr="00501641">
                    <w:rPr>
                      <w:rFonts w:ascii="Arial" w:eastAsia="Times New Roman" w:hAnsi="Arial" w:cs="Arial"/>
                      <w:sz w:val="20"/>
                      <w:szCs w:val="20"/>
                      <w:lang w:val="nl-BE" w:eastAsia="nl-NL"/>
                    </w:rPr>
                    <w:t> </w:t>
                  </w:r>
                </w:p>
              </w:tc>
            </w:tr>
          </w:tbl>
          <w:p w14:paraId="253DF40D" w14:textId="77777777" w:rsidR="00501641" w:rsidRPr="00501641" w:rsidRDefault="00501641" w:rsidP="00501641">
            <w:pPr>
              <w:jc w:val="center"/>
              <w:rPr>
                <w:rFonts w:ascii="Aptos" w:eastAsia="Times New Roman" w:hAnsi="Aptos" w:cs="Times New Roman"/>
                <w:color w:val="000000"/>
                <w:sz w:val="20"/>
                <w:szCs w:val="20"/>
                <w:lang w:val="nl-BE" w:eastAsia="nl-NL"/>
              </w:rPr>
            </w:pPr>
          </w:p>
        </w:tc>
      </w:tr>
    </w:tbl>
    <w:p w14:paraId="234C12C5" w14:textId="77777777" w:rsidR="00501641" w:rsidRPr="00501641" w:rsidRDefault="00501641" w:rsidP="00501641">
      <w:pPr>
        <w:rPr>
          <w:rFonts w:ascii="Aptos" w:eastAsia="Times New Roman" w:hAnsi="Aptos" w:cs="Times New Roman"/>
          <w:vanish/>
          <w:sz w:val="20"/>
          <w:szCs w:val="20"/>
          <w:lang w:val="nl-BE" w:eastAsia="nl-NL"/>
        </w:rPr>
      </w:pPr>
    </w:p>
    <w:tbl>
      <w:tblPr>
        <w:tblW w:w="5000" w:type="pct"/>
        <w:tblCellSpacing w:w="0" w:type="dxa"/>
        <w:tblCellMar>
          <w:left w:w="0" w:type="dxa"/>
          <w:right w:w="0" w:type="dxa"/>
        </w:tblCellMar>
        <w:tblLook w:val="04A0" w:firstRow="1" w:lastRow="0" w:firstColumn="1" w:lastColumn="0" w:noHBand="0" w:noVBand="1"/>
      </w:tblPr>
      <w:tblGrid>
        <w:gridCol w:w="9066"/>
      </w:tblGrid>
      <w:tr w:rsidR="00501641" w:rsidRPr="00501641" w14:paraId="11923DB7" w14:textId="77777777" w:rsidTr="00501641">
        <w:trPr>
          <w:tblCellSpacing w:w="0" w:type="dxa"/>
        </w:trPr>
        <w:tc>
          <w:tcPr>
            <w:tcW w:w="0" w:type="auto"/>
            <w:vAlign w:val="center"/>
            <w:hideMark/>
          </w:tcPr>
          <w:tbl>
            <w:tblPr>
              <w:tblW w:w="5000" w:type="pct"/>
              <w:tblCellSpacing w:w="0" w:type="dxa"/>
              <w:tblCellMar>
                <w:top w:w="140" w:type="dxa"/>
                <w:left w:w="140" w:type="dxa"/>
                <w:bottom w:w="140" w:type="dxa"/>
                <w:right w:w="140" w:type="dxa"/>
              </w:tblCellMar>
              <w:tblLook w:val="04A0" w:firstRow="1" w:lastRow="0" w:firstColumn="1" w:lastColumn="0" w:noHBand="0" w:noVBand="1"/>
            </w:tblPr>
            <w:tblGrid>
              <w:gridCol w:w="3280"/>
              <w:gridCol w:w="5786"/>
            </w:tblGrid>
            <w:tr w:rsidR="00501641" w:rsidRPr="00501641" w14:paraId="2BF6BCD5" w14:textId="77777777">
              <w:trPr>
                <w:tblCellSpacing w:w="0" w:type="dxa"/>
              </w:trPr>
              <w:tc>
                <w:tcPr>
                  <w:tcW w:w="2250" w:type="dxa"/>
                  <w:vAlign w:val="center"/>
                  <w:hideMark/>
                </w:tcPr>
                <w:p w14:paraId="3878D553" w14:textId="3F5FF082" w:rsidR="00501641" w:rsidRPr="00501641" w:rsidRDefault="00501641" w:rsidP="00501641">
                  <w:pPr>
                    <w:jc w:val="center"/>
                    <w:rPr>
                      <w:rFonts w:ascii="Aptos" w:eastAsia="Times New Roman" w:hAnsi="Aptos" w:cs="Arial"/>
                      <w:color w:val="000000"/>
                      <w:sz w:val="20"/>
                      <w:szCs w:val="20"/>
                      <w:lang w:val="nl-BE" w:eastAsia="nl-NL"/>
                    </w:rPr>
                  </w:pPr>
                  <w:r w:rsidRPr="00501641">
                    <w:rPr>
                      <w:rFonts w:ascii="Aptos" w:eastAsia="Times New Roman" w:hAnsi="Aptos" w:cs="Arial"/>
                      <w:noProof/>
                      <w:color w:val="0000FF"/>
                      <w:sz w:val="20"/>
                      <w:szCs w:val="20"/>
                      <w:bdr w:val="none" w:sz="0" w:space="0" w:color="auto" w:frame="1"/>
                      <w:lang w:val="nl-BE" w:eastAsia="nl-NL"/>
                    </w:rPr>
                    <w:lastRenderedPageBreak/>
                    <w:drawing>
                      <wp:inline distT="0" distB="0" distL="0" distR="0" wp14:anchorId="251BA99E" wp14:editId="7FE64131">
                        <wp:extent cx="1905000" cy="1270000"/>
                        <wp:effectExtent l="0" t="0" r="0" b="0"/>
                        <wp:docPr id="1" name="Afbeelding 1" descr="Afbeelding met kleding, persoon, glimlach, Blazer&#10;&#10;Automatisch gegenereerde beschrijvi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kleding, persoon, glimlach, Blazer&#10;&#10;Automatisch gegenereerde beschrijvi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p>
              </w:tc>
              <w:tc>
                <w:tcPr>
                  <w:tcW w:w="0" w:type="auto"/>
                  <w:vAlign w:val="center"/>
                  <w:hideMark/>
                </w:tcPr>
                <w:p w14:paraId="0E9CAF1E" w14:textId="77777777" w:rsidR="00501641" w:rsidRPr="00501641" w:rsidRDefault="00501641" w:rsidP="00501641">
                  <w:pPr>
                    <w:rPr>
                      <w:rFonts w:ascii="Aptos" w:eastAsia="Times New Roman" w:hAnsi="Aptos" w:cs="Arial"/>
                      <w:color w:val="000000"/>
                      <w:sz w:val="20"/>
                      <w:szCs w:val="20"/>
                      <w:lang w:val="nl-BE" w:eastAsia="nl-NL"/>
                    </w:rPr>
                  </w:pPr>
                  <w:hyperlink r:id="rId8" w:tgtFrame="_blank" w:history="1">
                    <w:r w:rsidRPr="00501641">
                      <w:rPr>
                        <w:rFonts w:ascii="Aptos" w:eastAsia="Times New Roman" w:hAnsi="Aptos" w:cs="Arial"/>
                        <w:color w:val="0000FF"/>
                        <w:sz w:val="20"/>
                        <w:szCs w:val="20"/>
                        <w:u w:val="single"/>
                        <w:lang w:val="nl-BE" w:eastAsia="nl-NL"/>
                      </w:rPr>
                      <w:t>Photo_Pieter van Wel.jpg</w:t>
                    </w:r>
                  </w:hyperlink>
                  <w:r w:rsidRPr="00501641">
                    <w:rPr>
                      <w:rFonts w:ascii="Aptos" w:eastAsia="Times New Roman" w:hAnsi="Aptos" w:cs="Arial"/>
                      <w:color w:val="000000"/>
                      <w:sz w:val="20"/>
                      <w:szCs w:val="20"/>
                      <w:lang w:val="nl-BE" w:eastAsia="nl-NL"/>
                    </w:rPr>
                    <w:t> </w:t>
                  </w:r>
                  <w:r w:rsidRPr="00501641">
                    <w:rPr>
                      <w:rFonts w:ascii="Aptos" w:eastAsia="Times New Roman" w:hAnsi="Aptos" w:cs="Arial"/>
                      <w:color w:val="000000"/>
                      <w:sz w:val="20"/>
                      <w:szCs w:val="20"/>
                      <w:lang w:val="nl-BE" w:eastAsia="nl-NL"/>
                    </w:rPr>
                    <w:br/>
                    <w:t>7.86 MB </w:t>
                  </w:r>
                </w:p>
              </w:tc>
            </w:tr>
          </w:tbl>
          <w:p w14:paraId="33B7144B" w14:textId="77777777" w:rsidR="00501641" w:rsidRPr="00501641" w:rsidRDefault="00501641" w:rsidP="00501641">
            <w:pPr>
              <w:rPr>
                <w:rFonts w:ascii="Aptos" w:eastAsia="Times New Roman" w:hAnsi="Aptos" w:cs="Times New Roman"/>
                <w:color w:val="000000"/>
                <w:sz w:val="20"/>
                <w:szCs w:val="20"/>
                <w:lang w:val="nl-BE" w:eastAsia="nl-NL"/>
              </w:rPr>
            </w:pPr>
          </w:p>
        </w:tc>
      </w:tr>
    </w:tbl>
    <w:p w14:paraId="32565F5C" w14:textId="77777777" w:rsidR="00501641" w:rsidRPr="00501641" w:rsidRDefault="00501641" w:rsidP="00501641">
      <w:pPr>
        <w:rPr>
          <w:rFonts w:ascii="Aptos" w:eastAsia="Times New Roman" w:hAnsi="Aptos" w:cs="Times New Roman"/>
          <w:vanish/>
          <w:sz w:val="20"/>
          <w:szCs w:val="20"/>
          <w:lang w:val="nl-BE" w:eastAsia="nl-NL"/>
        </w:rPr>
      </w:pPr>
    </w:p>
    <w:tbl>
      <w:tblPr>
        <w:tblW w:w="5000" w:type="pct"/>
        <w:tblCellSpacing w:w="0" w:type="dxa"/>
        <w:tblCellMar>
          <w:top w:w="200" w:type="dxa"/>
          <w:left w:w="200" w:type="dxa"/>
          <w:bottom w:w="200" w:type="dxa"/>
          <w:right w:w="200" w:type="dxa"/>
        </w:tblCellMar>
        <w:tblLook w:val="04A0" w:firstRow="1" w:lastRow="0" w:firstColumn="1" w:lastColumn="0" w:noHBand="0" w:noVBand="1"/>
      </w:tblPr>
      <w:tblGrid>
        <w:gridCol w:w="9066"/>
      </w:tblGrid>
      <w:tr w:rsidR="00501641" w:rsidRPr="00501641" w14:paraId="3F1BFD0C" w14:textId="77777777" w:rsidTr="00501641">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666"/>
            </w:tblGrid>
            <w:tr w:rsidR="00501641" w:rsidRPr="00501641" w14:paraId="1379638C" w14:textId="77777777">
              <w:trPr>
                <w:tblCellSpacing w:w="0" w:type="dxa"/>
                <w:jc w:val="center"/>
              </w:trPr>
              <w:tc>
                <w:tcPr>
                  <w:tcW w:w="0" w:type="auto"/>
                  <w:tcBorders>
                    <w:top w:val="single" w:sz="6" w:space="0" w:color="BBBBBB"/>
                  </w:tcBorders>
                  <w:vAlign w:val="center"/>
                  <w:hideMark/>
                </w:tcPr>
                <w:p w14:paraId="36952A02" w14:textId="77777777" w:rsidR="00501641" w:rsidRPr="00501641" w:rsidRDefault="00501641" w:rsidP="00501641">
                  <w:pPr>
                    <w:spacing w:line="15" w:lineRule="atLeast"/>
                    <w:rPr>
                      <w:rFonts w:ascii="Aptos" w:eastAsia="Times New Roman" w:hAnsi="Aptos" w:cs="Times New Roman"/>
                      <w:sz w:val="20"/>
                      <w:szCs w:val="20"/>
                      <w:lang w:val="nl-BE" w:eastAsia="nl-NL"/>
                    </w:rPr>
                  </w:pPr>
                  <w:r w:rsidRPr="00501641">
                    <w:rPr>
                      <w:rFonts w:ascii="Arial" w:eastAsia="Times New Roman" w:hAnsi="Arial" w:cs="Arial"/>
                      <w:sz w:val="20"/>
                      <w:szCs w:val="20"/>
                      <w:lang w:val="nl-BE" w:eastAsia="nl-NL"/>
                    </w:rPr>
                    <w:t> </w:t>
                  </w:r>
                </w:p>
              </w:tc>
            </w:tr>
          </w:tbl>
          <w:p w14:paraId="32ECBD03" w14:textId="77777777" w:rsidR="00501641" w:rsidRPr="00501641" w:rsidRDefault="00501641" w:rsidP="00501641">
            <w:pPr>
              <w:jc w:val="center"/>
              <w:rPr>
                <w:rFonts w:ascii="Aptos" w:eastAsia="Times New Roman" w:hAnsi="Aptos" w:cs="Times New Roman"/>
                <w:color w:val="000000"/>
                <w:sz w:val="20"/>
                <w:szCs w:val="20"/>
                <w:lang w:val="nl-BE" w:eastAsia="nl-NL"/>
              </w:rPr>
            </w:pPr>
          </w:p>
        </w:tc>
      </w:tr>
    </w:tbl>
    <w:p w14:paraId="2FC790D9" w14:textId="77777777" w:rsidR="00501641" w:rsidRPr="00501641" w:rsidRDefault="00501641" w:rsidP="00501641">
      <w:pPr>
        <w:rPr>
          <w:rFonts w:ascii="Aptos" w:eastAsia="Times New Roman" w:hAnsi="Aptos" w:cs="Times New Roman"/>
          <w:vanish/>
          <w:sz w:val="20"/>
          <w:szCs w:val="20"/>
          <w:lang w:val="nl-BE" w:eastAsia="nl-NL"/>
        </w:rPr>
      </w:pPr>
    </w:p>
    <w:tbl>
      <w:tblPr>
        <w:tblW w:w="5000" w:type="pct"/>
        <w:tblCellSpacing w:w="0" w:type="dxa"/>
        <w:tblCellMar>
          <w:top w:w="200" w:type="dxa"/>
          <w:left w:w="200" w:type="dxa"/>
          <w:bottom w:w="200" w:type="dxa"/>
          <w:right w:w="200" w:type="dxa"/>
        </w:tblCellMar>
        <w:tblLook w:val="04A0" w:firstRow="1" w:lastRow="0" w:firstColumn="1" w:lastColumn="0" w:noHBand="0" w:noVBand="1"/>
      </w:tblPr>
      <w:tblGrid>
        <w:gridCol w:w="9066"/>
      </w:tblGrid>
      <w:tr w:rsidR="00501641" w:rsidRPr="00501641" w14:paraId="765749C9" w14:textId="77777777" w:rsidTr="00501641">
        <w:trPr>
          <w:tblCellSpacing w:w="0" w:type="dxa"/>
        </w:trPr>
        <w:tc>
          <w:tcPr>
            <w:tcW w:w="0" w:type="auto"/>
            <w:vAlign w:val="center"/>
            <w:hideMark/>
          </w:tcPr>
          <w:p w14:paraId="160CA65B" w14:textId="77777777" w:rsidR="00501641" w:rsidRPr="00501641" w:rsidRDefault="00501641" w:rsidP="00501641">
            <w:pPr>
              <w:spacing w:after="240"/>
              <w:rPr>
                <w:rFonts w:ascii="Aptos" w:eastAsia="Times New Roman" w:hAnsi="Aptos" w:cs="Arial"/>
                <w:color w:val="000000"/>
                <w:sz w:val="20"/>
                <w:szCs w:val="20"/>
                <w:lang w:val="nl-BE" w:eastAsia="nl-NL"/>
              </w:rPr>
            </w:pPr>
            <w:r w:rsidRPr="00501641">
              <w:rPr>
                <w:rFonts w:ascii="Aptos" w:eastAsia="Times New Roman" w:hAnsi="Aptos" w:cs="Arial"/>
                <w:b/>
                <w:bCs/>
                <w:color w:val="000000"/>
                <w:sz w:val="20"/>
                <w:szCs w:val="20"/>
                <w:lang w:val="nl-BE" w:eastAsia="nl-NL"/>
              </w:rPr>
              <w:t>BERICHT VOOR DE REDACTIE</w:t>
            </w:r>
          </w:p>
          <w:p w14:paraId="7E56BC82" w14:textId="77777777" w:rsidR="00501641" w:rsidRPr="00501641" w:rsidRDefault="00501641" w:rsidP="00501641">
            <w:pPr>
              <w:spacing w:after="240"/>
              <w:rPr>
                <w:rFonts w:ascii="Aptos" w:eastAsia="Times New Roman" w:hAnsi="Aptos" w:cs="Arial"/>
                <w:color w:val="000000"/>
                <w:sz w:val="20"/>
                <w:szCs w:val="20"/>
                <w:lang w:val="nl-BE" w:eastAsia="nl-NL"/>
              </w:rPr>
            </w:pPr>
            <w:r w:rsidRPr="00501641">
              <w:rPr>
                <w:rFonts w:ascii="Aptos" w:eastAsia="Times New Roman" w:hAnsi="Aptos" w:cs="Arial"/>
                <w:b/>
                <w:bCs/>
                <w:color w:val="000000"/>
                <w:sz w:val="20"/>
                <w:szCs w:val="20"/>
                <w:lang w:val="nl-BE" w:eastAsia="nl-NL"/>
              </w:rPr>
              <w:t>Over de oprichters en aangesloten leden</w:t>
            </w:r>
            <w:r w:rsidRPr="00501641">
              <w:rPr>
                <w:rFonts w:ascii="Aptos" w:eastAsia="Times New Roman" w:hAnsi="Aptos" w:cs="Arial"/>
                <w:b/>
                <w:bCs/>
                <w:color w:val="000000"/>
                <w:sz w:val="20"/>
                <w:szCs w:val="20"/>
                <w:lang w:val="nl-BE" w:eastAsia="nl-NL"/>
              </w:rPr>
              <w:br/>
              <w:t>ERPA</w:t>
            </w:r>
            <w:r w:rsidRPr="00501641">
              <w:rPr>
                <w:rFonts w:ascii="Aptos" w:eastAsia="Times New Roman" w:hAnsi="Aptos" w:cs="Arial"/>
                <w:color w:val="000000"/>
                <w:sz w:val="20"/>
                <w:szCs w:val="20"/>
                <w:lang w:val="nl-BE" w:eastAsia="nl-NL"/>
              </w:rPr>
              <w:t> is officieel op </w:t>
            </w:r>
            <w:r w:rsidRPr="00501641">
              <w:rPr>
                <w:rFonts w:ascii="Aptos" w:eastAsia="Times New Roman" w:hAnsi="Aptos" w:cs="Arial"/>
                <w:b/>
                <w:bCs/>
                <w:color w:val="000000"/>
                <w:sz w:val="20"/>
                <w:szCs w:val="20"/>
                <w:lang w:val="nl-BE" w:eastAsia="nl-NL"/>
              </w:rPr>
              <w:t>25 juli 2024 in Nederland</w:t>
            </w:r>
            <w:r w:rsidRPr="00501641">
              <w:rPr>
                <w:rFonts w:ascii="Aptos" w:eastAsia="Times New Roman" w:hAnsi="Aptos" w:cs="Arial"/>
                <w:color w:val="000000"/>
                <w:sz w:val="20"/>
                <w:szCs w:val="20"/>
                <w:lang w:val="nl-BE" w:eastAsia="nl-NL"/>
              </w:rPr>
              <w:t> ingeschreven en vertegenwoordigt momenteel vijf leden.</w:t>
            </w:r>
          </w:p>
          <w:p w14:paraId="608AC40E" w14:textId="77777777" w:rsidR="00501641" w:rsidRPr="00501641" w:rsidRDefault="00501641" w:rsidP="00501641">
            <w:pPr>
              <w:spacing w:after="240"/>
              <w:rPr>
                <w:rFonts w:ascii="Aptos" w:eastAsia="Times New Roman" w:hAnsi="Aptos" w:cs="Arial"/>
                <w:color w:val="000000"/>
                <w:sz w:val="20"/>
                <w:szCs w:val="20"/>
                <w:lang w:val="nl-BE" w:eastAsia="nl-NL"/>
              </w:rPr>
            </w:pPr>
            <w:r w:rsidRPr="00501641">
              <w:rPr>
                <w:rFonts w:ascii="Aptos" w:eastAsia="Times New Roman" w:hAnsi="Aptos" w:cs="Arial"/>
                <w:b/>
                <w:bCs/>
                <w:color w:val="000000"/>
                <w:sz w:val="20"/>
                <w:szCs w:val="20"/>
                <w:lang w:val="nl-BE" w:eastAsia="nl-NL"/>
              </w:rPr>
              <w:t>REMOBIS Refund Service C.V.</w:t>
            </w:r>
            <w:r w:rsidRPr="00501641">
              <w:rPr>
                <w:rFonts w:ascii="Aptos" w:eastAsia="Times New Roman" w:hAnsi="Aptos" w:cs="Arial"/>
                <w:color w:val="000000"/>
                <w:sz w:val="20"/>
                <w:szCs w:val="20"/>
                <w:lang w:val="nl-BE" w:eastAsia="nl-NL"/>
              </w:rPr>
              <w:t>, opgericht in Utrecht in 2002 is een toonaangevende provider van restitutieservice voor belastingen en accijnzen aan internationale vervoerders en logistieke bedrijven in heel Europa.</w:t>
            </w:r>
          </w:p>
          <w:p w14:paraId="46903E9A" w14:textId="77777777" w:rsidR="00501641" w:rsidRPr="00501641" w:rsidRDefault="00501641" w:rsidP="00501641">
            <w:pPr>
              <w:spacing w:after="240"/>
              <w:rPr>
                <w:rFonts w:ascii="Aptos" w:eastAsia="Times New Roman" w:hAnsi="Aptos" w:cs="Arial"/>
                <w:color w:val="000000"/>
                <w:sz w:val="20"/>
                <w:szCs w:val="20"/>
                <w:lang w:val="nl-BE" w:eastAsia="nl-NL"/>
              </w:rPr>
            </w:pPr>
            <w:r w:rsidRPr="00501641">
              <w:rPr>
                <w:rFonts w:ascii="Aptos" w:eastAsia="Times New Roman" w:hAnsi="Aptos" w:cs="Arial"/>
                <w:b/>
                <w:bCs/>
                <w:color w:val="000000"/>
                <w:sz w:val="20"/>
                <w:szCs w:val="20"/>
                <w:lang w:val="nl-BE" w:eastAsia="nl-NL"/>
              </w:rPr>
              <w:t>Alfa Transport Service VoF</w:t>
            </w:r>
            <w:r w:rsidRPr="00501641">
              <w:rPr>
                <w:rFonts w:ascii="Aptos" w:eastAsia="Times New Roman" w:hAnsi="Aptos" w:cs="Arial"/>
                <w:color w:val="000000"/>
                <w:sz w:val="20"/>
                <w:szCs w:val="20"/>
                <w:lang w:val="nl-BE" w:eastAsia="nl-NL"/>
              </w:rPr>
              <w:t>, een in Utrecht (sinds 1989) gevestigde Nederlandse vennootschap en zusterbedrijf van REMOBIS, is een restitutieprovider voor internationale vervoerders en logistieke bedrijven in heel Europa.</w:t>
            </w:r>
          </w:p>
          <w:p w14:paraId="26BE7AE8" w14:textId="77777777" w:rsidR="00501641" w:rsidRPr="00501641" w:rsidRDefault="00501641" w:rsidP="00501641">
            <w:pPr>
              <w:spacing w:after="240"/>
              <w:rPr>
                <w:rFonts w:ascii="Aptos" w:eastAsia="Times New Roman" w:hAnsi="Aptos" w:cs="Arial"/>
                <w:color w:val="000000"/>
                <w:sz w:val="20"/>
                <w:szCs w:val="20"/>
                <w:lang w:val="nl-BE" w:eastAsia="nl-NL"/>
              </w:rPr>
            </w:pPr>
            <w:r w:rsidRPr="00501641">
              <w:rPr>
                <w:rFonts w:ascii="Aptos" w:eastAsia="Times New Roman" w:hAnsi="Aptos" w:cs="Arial"/>
                <w:b/>
                <w:bCs/>
                <w:color w:val="000000"/>
                <w:sz w:val="20"/>
                <w:szCs w:val="20"/>
                <w:lang w:val="nl-BE" w:eastAsia="nl-NL"/>
              </w:rPr>
              <w:t>Tax Refund S.R.L.</w:t>
            </w:r>
            <w:r w:rsidRPr="00501641">
              <w:rPr>
                <w:rFonts w:ascii="Aptos" w:eastAsia="Times New Roman" w:hAnsi="Aptos" w:cs="Arial"/>
                <w:color w:val="000000"/>
                <w:sz w:val="20"/>
                <w:szCs w:val="20"/>
                <w:lang w:val="nl-BE" w:eastAsia="nl-NL"/>
              </w:rPr>
              <w:t>, een in Boekarest (sinds 2011) opgerichte BV en zusterbedrijf van REMOBIS, is restitutieprovider voor internationale vervoerders en logistieke bedrijven in heel Europa.</w:t>
            </w:r>
          </w:p>
          <w:p w14:paraId="747DCB67" w14:textId="77777777" w:rsidR="00501641" w:rsidRPr="00501641" w:rsidRDefault="00501641" w:rsidP="00501641">
            <w:pPr>
              <w:spacing w:after="240"/>
              <w:rPr>
                <w:rFonts w:ascii="Aptos" w:eastAsia="Times New Roman" w:hAnsi="Aptos" w:cs="Arial"/>
                <w:color w:val="000000"/>
                <w:sz w:val="20"/>
                <w:szCs w:val="20"/>
                <w:lang w:val="nl-BE" w:eastAsia="nl-NL"/>
              </w:rPr>
            </w:pPr>
            <w:r w:rsidRPr="00501641">
              <w:rPr>
                <w:rFonts w:ascii="Aptos" w:eastAsia="Times New Roman" w:hAnsi="Aptos" w:cs="Arial"/>
                <w:b/>
                <w:bCs/>
                <w:color w:val="000000"/>
                <w:sz w:val="20"/>
                <w:szCs w:val="20"/>
                <w:lang w:val="nl-BE" w:eastAsia="nl-NL"/>
              </w:rPr>
              <w:t>Edenred Finance UAB</w:t>
            </w:r>
            <w:r w:rsidRPr="00501641">
              <w:rPr>
                <w:rFonts w:ascii="Aptos" w:eastAsia="Times New Roman" w:hAnsi="Aptos" w:cs="Arial"/>
                <w:color w:val="000000"/>
                <w:sz w:val="20"/>
                <w:szCs w:val="20"/>
                <w:lang w:val="nl-BE" w:eastAsia="nl-NL"/>
              </w:rPr>
              <w:t> is een in Vilnius, Litouwen (sinds 2013) opgerichte BV, en één van Europa’s grootste restitutieproviders. Als onderdeel van EDENRED GROUP zet het bedrijf zijn verband met deze toonaangevende wereldspeler in voor het leveren van efficiënte en betrouwbare restitutieservice van btw en accijnzen aan het hele Europese continent.</w:t>
            </w:r>
          </w:p>
          <w:p w14:paraId="18F1264E" w14:textId="77777777" w:rsidR="00501641" w:rsidRPr="00501641" w:rsidRDefault="00501641" w:rsidP="00501641">
            <w:pPr>
              <w:rPr>
                <w:rFonts w:ascii="Aptos" w:eastAsia="Times New Roman" w:hAnsi="Aptos" w:cs="Arial"/>
                <w:color w:val="000000"/>
                <w:sz w:val="20"/>
                <w:szCs w:val="20"/>
                <w:lang w:val="nl-BE" w:eastAsia="nl-NL"/>
              </w:rPr>
            </w:pPr>
            <w:r w:rsidRPr="00501641">
              <w:rPr>
                <w:rFonts w:ascii="Aptos" w:eastAsia="Times New Roman" w:hAnsi="Aptos" w:cs="Arial"/>
                <w:b/>
                <w:bCs/>
                <w:color w:val="000000"/>
                <w:sz w:val="20"/>
                <w:szCs w:val="20"/>
                <w:lang w:val="nl-BE" w:eastAsia="nl-NL"/>
              </w:rPr>
              <w:t>Nikosax A/S,</w:t>
            </w:r>
            <w:r w:rsidRPr="00501641">
              <w:rPr>
                <w:rFonts w:ascii="Aptos" w:eastAsia="Times New Roman" w:hAnsi="Aptos" w:cs="Arial"/>
                <w:color w:val="000000"/>
                <w:sz w:val="20"/>
                <w:szCs w:val="20"/>
                <w:lang w:val="nl-BE" w:eastAsia="nl-NL"/>
              </w:rPr>
              <w:t> een Deens bedrijf en dochter van Edenred Finance UAB, dat is gespecialiseerd in restitutieservice van btw en accijnzen aan Europese vervoerders.</w:t>
            </w:r>
          </w:p>
        </w:tc>
      </w:tr>
    </w:tbl>
    <w:p w14:paraId="0DB6A0DA" w14:textId="77777777" w:rsidR="00501641" w:rsidRPr="00501641" w:rsidRDefault="00501641" w:rsidP="00501641">
      <w:pPr>
        <w:rPr>
          <w:rFonts w:ascii="Aptos" w:eastAsia="Times New Roman" w:hAnsi="Aptos" w:cs="Times New Roman"/>
          <w:vanish/>
          <w:sz w:val="20"/>
          <w:szCs w:val="20"/>
          <w:lang w:val="nl-BE" w:eastAsia="nl-NL"/>
        </w:rPr>
      </w:pPr>
    </w:p>
    <w:tbl>
      <w:tblPr>
        <w:tblW w:w="5000" w:type="pct"/>
        <w:tblCellSpacing w:w="0" w:type="dxa"/>
        <w:tblCellMar>
          <w:top w:w="200" w:type="dxa"/>
          <w:left w:w="200" w:type="dxa"/>
          <w:bottom w:w="200" w:type="dxa"/>
          <w:right w:w="200" w:type="dxa"/>
        </w:tblCellMar>
        <w:tblLook w:val="04A0" w:firstRow="1" w:lastRow="0" w:firstColumn="1" w:lastColumn="0" w:noHBand="0" w:noVBand="1"/>
      </w:tblPr>
      <w:tblGrid>
        <w:gridCol w:w="9066"/>
      </w:tblGrid>
      <w:tr w:rsidR="00501641" w:rsidRPr="00501641" w14:paraId="26761509" w14:textId="77777777" w:rsidTr="00501641">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666"/>
            </w:tblGrid>
            <w:tr w:rsidR="00501641" w:rsidRPr="00501641" w14:paraId="32A5B54A" w14:textId="77777777">
              <w:trPr>
                <w:tblCellSpacing w:w="0" w:type="dxa"/>
                <w:jc w:val="center"/>
              </w:trPr>
              <w:tc>
                <w:tcPr>
                  <w:tcW w:w="0" w:type="auto"/>
                  <w:tcBorders>
                    <w:top w:val="single" w:sz="6" w:space="0" w:color="BBBBBB"/>
                  </w:tcBorders>
                  <w:vAlign w:val="center"/>
                  <w:hideMark/>
                </w:tcPr>
                <w:p w14:paraId="32459659" w14:textId="77777777" w:rsidR="00501641" w:rsidRPr="00501641" w:rsidRDefault="00501641" w:rsidP="00501641">
                  <w:pPr>
                    <w:spacing w:line="15" w:lineRule="atLeast"/>
                    <w:rPr>
                      <w:rFonts w:ascii="Aptos" w:eastAsia="Times New Roman" w:hAnsi="Aptos" w:cs="Times New Roman"/>
                      <w:sz w:val="20"/>
                      <w:szCs w:val="20"/>
                      <w:lang w:val="nl-BE" w:eastAsia="nl-NL"/>
                    </w:rPr>
                  </w:pPr>
                  <w:r w:rsidRPr="00501641">
                    <w:rPr>
                      <w:rFonts w:ascii="Arial" w:eastAsia="Times New Roman" w:hAnsi="Arial" w:cs="Arial"/>
                      <w:sz w:val="20"/>
                      <w:szCs w:val="20"/>
                      <w:lang w:val="nl-BE" w:eastAsia="nl-NL"/>
                    </w:rPr>
                    <w:t> </w:t>
                  </w:r>
                </w:p>
              </w:tc>
            </w:tr>
          </w:tbl>
          <w:p w14:paraId="1A28B35F" w14:textId="77777777" w:rsidR="00501641" w:rsidRPr="00501641" w:rsidRDefault="00501641" w:rsidP="00501641">
            <w:pPr>
              <w:jc w:val="center"/>
              <w:rPr>
                <w:rFonts w:ascii="Aptos" w:eastAsia="Times New Roman" w:hAnsi="Aptos" w:cs="Times New Roman"/>
                <w:color w:val="000000"/>
                <w:sz w:val="20"/>
                <w:szCs w:val="20"/>
                <w:lang w:val="nl-BE" w:eastAsia="nl-NL"/>
              </w:rPr>
            </w:pPr>
          </w:p>
        </w:tc>
      </w:tr>
    </w:tbl>
    <w:p w14:paraId="1B11C5BA" w14:textId="77777777" w:rsidR="00501641" w:rsidRPr="00501641" w:rsidRDefault="00501641" w:rsidP="00501641">
      <w:pPr>
        <w:rPr>
          <w:rFonts w:ascii="Aptos" w:eastAsia="Times New Roman" w:hAnsi="Aptos" w:cs="Times New Roman"/>
          <w:vanish/>
          <w:sz w:val="20"/>
          <w:szCs w:val="20"/>
          <w:lang w:val="nl-BE" w:eastAsia="nl-NL"/>
        </w:rPr>
      </w:pPr>
    </w:p>
    <w:tbl>
      <w:tblPr>
        <w:tblW w:w="5000" w:type="pct"/>
        <w:tblCellSpacing w:w="0" w:type="dxa"/>
        <w:tblCellMar>
          <w:top w:w="200" w:type="dxa"/>
          <w:left w:w="200" w:type="dxa"/>
          <w:bottom w:w="200" w:type="dxa"/>
          <w:right w:w="200" w:type="dxa"/>
        </w:tblCellMar>
        <w:tblLook w:val="04A0" w:firstRow="1" w:lastRow="0" w:firstColumn="1" w:lastColumn="0" w:noHBand="0" w:noVBand="1"/>
      </w:tblPr>
      <w:tblGrid>
        <w:gridCol w:w="9066"/>
      </w:tblGrid>
      <w:tr w:rsidR="00501641" w:rsidRPr="00501641" w14:paraId="588157DA" w14:textId="77777777" w:rsidTr="00501641">
        <w:trPr>
          <w:tblCellSpacing w:w="0" w:type="dxa"/>
        </w:trPr>
        <w:tc>
          <w:tcPr>
            <w:tcW w:w="0" w:type="auto"/>
            <w:vAlign w:val="center"/>
            <w:hideMark/>
          </w:tcPr>
          <w:p w14:paraId="13DB20AD" w14:textId="77777777" w:rsidR="00501641" w:rsidRPr="00501641" w:rsidRDefault="00501641" w:rsidP="00501641">
            <w:pPr>
              <w:rPr>
                <w:rFonts w:ascii="Aptos" w:eastAsia="Times New Roman" w:hAnsi="Aptos" w:cs="Arial"/>
                <w:color w:val="000000"/>
                <w:sz w:val="20"/>
                <w:szCs w:val="20"/>
                <w:lang w:val="nl-BE" w:eastAsia="nl-NL"/>
              </w:rPr>
            </w:pPr>
            <w:r w:rsidRPr="00501641">
              <w:rPr>
                <w:rFonts w:ascii="Aptos" w:eastAsia="Times New Roman" w:hAnsi="Aptos" w:cs="Arial"/>
                <w:b/>
                <w:bCs/>
                <w:color w:val="000000"/>
                <w:sz w:val="20"/>
                <w:szCs w:val="20"/>
                <w:lang w:val="nl-BE" w:eastAsia="nl-NL"/>
              </w:rPr>
              <w:t>Pieter van Wel</w:t>
            </w:r>
            <w:r w:rsidRPr="00501641">
              <w:rPr>
                <w:rFonts w:ascii="Aptos" w:eastAsia="Times New Roman" w:hAnsi="Aptos" w:cs="Arial"/>
                <w:b/>
                <w:bCs/>
                <w:color w:val="000000"/>
                <w:sz w:val="20"/>
                <w:szCs w:val="20"/>
                <w:lang w:val="nl-BE" w:eastAsia="nl-NL"/>
              </w:rPr>
              <w:br/>
            </w:r>
            <w:r w:rsidRPr="00501641">
              <w:rPr>
                <w:rFonts w:ascii="Aptos" w:eastAsia="Times New Roman" w:hAnsi="Aptos" w:cs="Arial"/>
                <w:color w:val="000000"/>
                <w:sz w:val="20"/>
                <w:szCs w:val="20"/>
                <w:lang w:val="nl-BE" w:eastAsia="nl-NL"/>
              </w:rPr>
              <w:t>Voorzitter European Refund Providers Association</w:t>
            </w:r>
            <w:r w:rsidRPr="00501641">
              <w:rPr>
                <w:rFonts w:ascii="Aptos" w:eastAsia="Times New Roman" w:hAnsi="Aptos" w:cs="Arial"/>
                <w:color w:val="000000"/>
                <w:sz w:val="20"/>
                <w:szCs w:val="20"/>
                <w:lang w:val="nl-BE" w:eastAsia="nl-NL"/>
              </w:rPr>
              <w:br/>
              <w:t>e-mail: </w:t>
            </w:r>
            <w:hyperlink r:id="rId9" w:history="1">
              <w:r w:rsidRPr="00501641">
                <w:rPr>
                  <w:rFonts w:ascii="Aptos" w:eastAsia="Times New Roman" w:hAnsi="Aptos" w:cs="Arial"/>
                  <w:color w:val="0068A5"/>
                  <w:sz w:val="20"/>
                  <w:szCs w:val="20"/>
                  <w:u w:val="single"/>
                  <w:lang w:val="nl-BE" w:eastAsia="nl-NL"/>
                </w:rPr>
                <w:t>pieter.vanwel@erpa.eu</w:t>
              </w:r>
            </w:hyperlink>
            <w:r w:rsidRPr="00501641">
              <w:rPr>
                <w:rFonts w:ascii="Aptos" w:eastAsia="Times New Roman" w:hAnsi="Aptos" w:cs="Arial"/>
                <w:color w:val="000000"/>
                <w:sz w:val="20"/>
                <w:szCs w:val="20"/>
                <w:lang w:val="nl-BE" w:eastAsia="nl-NL"/>
              </w:rPr>
              <w:br/>
            </w:r>
            <w:r w:rsidRPr="00501641">
              <w:rPr>
                <w:rFonts w:ascii="Aptos" w:eastAsia="Times New Roman" w:hAnsi="Aptos" w:cs="Arial"/>
                <w:color w:val="000000"/>
                <w:sz w:val="20"/>
                <w:szCs w:val="20"/>
                <w:lang w:val="nl-BE" w:eastAsia="nl-NL"/>
              </w:rPr>
              <w:br/>
            </w:r>
            <w:r w:rsidRPr="00501641">
              <w:rPr>
                <w:rFonts w:ascii="Aptos" w:eastAsia="Times New Roman" w:hAnsi="Aptos" w:cs="Arial"/>
                <w:b/>
                <w:bCs/>
                <w:color w:val="000000"/>
                <w:sz w:val="20"/>
                <w:szCs w:val="20"/>
                <w:lang w:val="nl-BE" w:eastAsia="nl-NL"/>
              </w:rPr>
              <w:t>Loreta Grekauskiene</w:t>
            </w:r>
            <w:r w:rsidRPr="00501641">
              <w:rPr>
                <w:rFonts w:ascii="Aptos" w:eastAsia="Times New Roman" w:hAnsi="Aptos" w:cs="Arial"/>
                <w:b/>
                <w:bCs/>
                <w:color w:val="000000"/>
                <w:sz w:val="20"/>
                <w:szCs w:val="20"/>
                <w:lang w:val="nl-BE" w:eastAsia="nl-NL"/>
              </w:rPr>
              <w:br/>
            </w:r>
            <w:r w:rsidRPr="00501641">
              <w:rPr>
                <w:rFonts w:ascii="Aptos" w:eastAsia="Times New Roman" w:hAnsi="Aptos" w:cs="Arial"/>
                <w:color w:val="000000"/>
                <w:sz w:val="20"/>
                <w:szCs w:val="20"/>
                <w:lang w:val="nl-BE" w:eastAsia="nl-NL"/>
              </w:rPr>
              <w:t>Thesaurier-secretaris European Refund Providers Association</w:t>
            </w:r>
            <w:r w:rsidRPr="00501641">
              <w:rPr>
                <w:rFonts w:ascii="Aptos" w:eastAsia="Times New Roman" w:hAnsi="Aptos" w:cs="Arial"/>
                <w:color w:val="000000"/>
                <w:sz w:val="20"/>
                <w:szCs w:val="20"/>
                <w:lang w:val="nl-BE" w:eastAsia="nl-NL"/>
              </w:rPr>
              <w:br/>
              <w:t>Email: </w:t>
            </w:r>
            <w:hyperlink r:id="rId10" w:history="1">
              <w:r w:rsidRPr="00501641">
                <w:rPr>
                  <w:rFonts w:ascii="Aptos" w:eastAsia="Times New Roman" w:hAnsi="Aptos" w:cs="Arial"/>
                  <w:color w:val="0068A5"/>
                  <w:sz w:val="20"/>
                  <w:szCs w:val="20"/>
                  <w:u w:val="single"/>
                  <w:lang w:val="nl-BE" w:eastAsia="nl-NL"/>
                </w:rPr>
                <w:t>loreta.grekauskiene@erpa.eu</w:t>
              </w:r>
            </w:hyperlink>
          </w:p>
        </w:tc>
      </w:tr>
    </w:tbl>
    <w:p w14:paraId="7981D055" w14:textId="77777777" w:rsidR="00A004FE" w:rsidRPr="00501641" w:rsidRDefault="00000000">
      <w:pPr>
        <w:rPr>
          <w:rFonts w:ascii="Aptos" w:hAnsi="Aptos"/>
          <w:sz w:val="20"/>
          <w:szCs w:val="20"/>
          <w:lang w:val="nl-BE"/>
        </w:rPr>
      </w:pPr>
    </w:p>
    <w:sectPr w:rsidR="00A004FE" w:rsidRPr="00501641" w:rsidSect="00ED14A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41"/>
    <w:rsid w:val="000B34D0"/>
    <w:rsid w:val="0012482C"/>
    <w:rsid w:val="0048686A"/>
    <w:rsid w:val="00501641"/>
    <w:rsid w:val="00AD0405"/>
    <w:rsid w:val="00ED14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4B73BFF"/>
  <w14:defaultImageDpi w14:val="32767"/>
  <w15:chartTrackingRefBased/>
  <w15:docId w15:val="{F8FB25CE-7E10-3A43-BDAC-4C00A4DF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link w:val="Kop1Char"/>
    <w:uiPriority w:val="9"/>
    <w:qFormat/>
    <w:rsid w:val="00501641"/>
    <w:pPr>
      <w:spacing w:before="100" w:beforeAutospacing="1" w:after="100" w:afterAutospacing="1"/>
      <w:outlineLvl w:val="0"/>
    </w:pPr>
    <w:rPr>
      <w:rFonts w:ascii="Times New Roman" w:eastAsia="Times New Roman" w:hAnsi="Times New Roman" w:cs="Times New Roman"/>
      <w:b/>
      <w:bCs/>
      <w:kern w:val="36"/>
      <w:sz w:val="48"/>
      <w:szCs w:val="48"/>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1641"/>
    <w:rPr>
      <w:rFonts w:ascii="Times New Roman" w:eastAsia="Times New Roman" w:hAnsi="Times New Roman" w:cs="Times New Roman"/>
      <w:b/>
      <w:bCs/>
      <w:kern w:val="36"/>
      <w:sz w:val="48"/>
      <w:szCs w:val="48"/>
      <w:lang w:val="nl-BE" w:eastAsia="nl-NL"/>
    </w:rPr>
  </w:style>
  <w:style w:type="paragraph" w:styleId="Normaalweb">
    <w:name w:val="Normal (Web)"/>
    <w:basedOn w:val="Standaard"/>
    <w:uiPriority w:val="99"/>
    <w:semiHidden/>
    <w:unhideWhenUsed/>
    <w:rsid w:val="00501641"/>
    <w:pPr>
      <w:spacing w:before="100" w:beforeAutospacing="1" w:after="100" w:afterAutospacing="1"/>
    </w:pPr>
    <w:rPr>
      <w:rFonts w:ascii="Times New Roman" w:eastAsia="Times New Roman" w:hAnsi="Times New Roman" w:cs="Times New Roman"/>
      <w:lang w:val="nl-BE" w:eastAsia="nl-NL"/>
    </w:rPr>
  </w:style>
  <w:style w:type="character" w:styleId="Zwaar">
    <w:name w:val="Strong"/>
    <w:basedOn w:val="Standaardalinea-lettertype"/>
    <w:uiPriority w:val="22"/>
    <w:qFormat/>
    <w:rsid w:val="00501641"/>
    <w:rPr>
      <w:b/>
      <w:bCs/>
    </w:rPr>
  </w:style>
  <w:style w:type="character" w:customStyle="1" w:styleId="apple-converted-space">
    <w:name w:val="apple-converted-space"/>
    <w:basedOn w:val="Standaardalinea-lettertype"/>
    <w:rsid w:val="00501641"/>
  </w:style>
  <w:style w:type="character" w:styleId="Hyperlink">
    <w:name w:val="Hyperlink"/>
    <w:basedOn w:val="Standaardalinea-lettertype"/>
    <w:uiPriority w:val="99"/>
    <w:semiHidden/>
    <w:unhideWhenUsed/>
    <w:rsid w:val="005016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8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pressmailings.com/c6/bba99c1ba648f49f94d5f1189324c3/Photo_Pieter-van-Wel.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les.pressmailings.com/c6/bba99c1ba648f49f94d5f1189324c3/Photo_Pieter-van-Wel.jpg" TargetMode="External"/><Relationship Id="rId11" Type="http://schemas.openxmlformats.org/officeDocument/2006/relationships/fontTable" Target="fontTable.xml"/><Relationship Id="rId5" Type="http://schemas.openxmlformats.org/officeDocument/2006/relationships/hyperlink" Target="https://finance.edenred.com/" TargetMode="External"/><Relationship Id="rId10" Type="http://schemas.openxmlformats.org/officeDocument/2006/relationships/hyperlink" Target="mailto:loreta.grekauskiene@erpa.eu" TargetMode="External"/><Relationship Id="rId4" Type="http://schemas.openxmlformats.org/officeDocument/2006/relationships/hyperlink" Target="https://www.remobis.com/en/" TargetMode="External"/><Relationship Id="rId9" Type="http://schemas.openxmlformats.org/officeDocument/2006/relationships/hyperlink" Target="mailto:pieter.vanwel@erpa.eu"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768</Words>
  <Characters>4225</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1</cp:revision>
  <dcterms:created xsi:type="dcterms:W3CDTF">2025-07-15T17:26:00Z</dcterms:created>
  <dcterms:modified xsi:type="dcterms:W3CDTF">2025-07-15T17:28:00Z</dcterms:modified>
</cp:coreProperties>
</file>